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2" w:rsidRPr="004C5A8C" w:rsidRDefault="004B7F92" w:rsidP="004B7F92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F861BC" w:rsidRPr="00F861BC" w:rsidRDefault="00F861BC" w:rsidP="00F861BC">
      <w:pPr>
        <w:rPr>
          <w:rFonts w:asciiTheme="minorHAnsi" w:hAnsiTheme="minorHAnsi" w:cs="Arial"/>
          <w:b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861BC">
        <w:rPr>
          <w:rFonts w:asciiTheme="minorHAnsi" w:hAnsiTheme="minorHAnsi" w:cs="Arial"/>
          <w:b/>
          <w:lang w:val="en-ZA"/>
        </w:rPr>
        <w:t>Date:</w:t>
      </w:r>
      <w:r w:rsidRPr="00F861BC">
        <w:rPr>
          <w:rFonts w:asciiTheme="minorHAnsi" w:hAnsiTheme="minorHAnsi" w:cs="Arial"/>
          <w:b/>
          <w:lang w:val="en-ZA"/>
        </w:rPr>
        <w:tab/>
      </w:r>
      <w:r w:rsidR="00EF2CE7">
        <w:rPr>
          <w:rFonts w:asciiTheme="minorHAnsi" w:hAnsiTheme="minorHAnsi" w:cs="Arial"/>
          <w:b/>
          <w:lang w:val="en-ZA"/>
        </w:rPr>
        <w:t>11 February 2019</w:t>
      </w: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b/>
          <w:smallCaps/>
          <w:lang w:val="en-ZA"/>
        </w:rPr>
        <w:t>Subject:</w:t>
      </w:r>
      <w:r w:rsidRPr="00F861BC">
        <w:rPr>
          <w:rFonts w:asciiTheme="minorHAnsi" w:hAnsiTheme="minorHAnsi" w:cs="Arial"/>
          <w:b/>
          <w:lang w:val="en-ZA"/>
        </w:rPr>
        <w:t xml:space="preserve">   </w:t>
      </w:r>
      <w:r w:rsidR="004A12A4">
        <w:rPr>
          <w:rFonts w:asciiTheme="minorHAnsi" w:hAnsiTheme="minorHAnsi" w:cs="Arial"/>
          <w:b/>
          <w:lang w:val="en-ZA"/>
        </w:rPr>
        <w:t>No exercise of Originator Call Option on 20 February 2019</w:t>
      </w:r>
      <w:r w:rsidRPr="00F861BC">
        <w:rPr>
          <w:rFonts w:asciiTheme="minorHAnsi" w:hAnsiTheme="minorHAnsi" w:cs="Arial"/>
          <w:lang w:val="en-ZA"/>
        </w:rPr>
        <w:tab/>
      </w:r>
    </w:p>
    <w:p w:rsidR="004B7F92" w:rsidRPr="004C5A8C" w:rsidRDefault="004B7F92" w:rsidP="004B7F9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 w:rsidR="005F442E">
        <w:rPr>
          <w:rFonts w:cs="Arial"/>
          <w:b/>
          <w:i/>
          <w:sz w:val="18"/>
          <w:szCs w:val="18"/>
          <w:lang w:val="en-ZA"/>
        </w:rPr>
        <w:t>FOX STREET 2</w:t>
      </w:r>
      <w:r w:rsidRPr="009C5094">
        <w:rPr>
          <w:rFonts w:cs="Arial"/>
          <w:b/>
          <w:i/>
          <w:sz w:val="18"/>
          <w:szCs w:val="18"/>
          <w:lang w:val="en-ZA"/>
        </w:rPr>
        <w:t xml:space="preserve"> (RF) LIMITED</w:t>
      </w:r>
      <w:r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5F442E">
        <w:rPr>
          <w:rFonts w:asciiTheme="minorHAnsi" w:hAnsiTheme="minorHAnsi" w:cs="Arial"/>
          <w:b/>
          <w:i/>
          <w:lang w:val="en-ZA"/>
        </w:rPr>
        <w:t>FS2A5; FS2B1; FS2C1; FS2</w:t>
      </w:r>
      <w:r w:rsidRPr="003A7ABA">
        <w:rPr>
          <w:rFonts w:asciiTheme="minorHAnsi" w:hAnsiTheme="minorHAnsi" w:cs="Arial"/>
          <w:b/>
          <w:i/>
          <w:lang w:val="en-ZA"/>
        </w:rPr>
        <w:t>D1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>====================================================</w:t>
      </w:r>
    </w:p>
    <w:p w:rsidR="00F861BC" w:rsidRPr="00F861BC" w:rsidRDefault="00F861BC" w:rsidP="00F861BC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4A12A4" w:rsidRDefault="00215307" w:rsidP="004A12A4">
      <w:pPr>
        <w:pStyle w:val="WerksmansStyle1"/>
        <w:spacing w:line="24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The </w:t>
      </w:r>
      <w:r w:rsidR="004A12A4">
        <w:rPr>
          <w:rFonts w:asciiTheme="minorHAnsi" w:hAnsiTheme="minorHAnsi"/>
          <w:lang w:val="en-ZA"/>
        </w:rPr>
        <w:t>O</w:t>
      </w:r>
      <w:r>
        <w:rPr>
          <w:rFonts w:asciiTheme="minorHAnsi" w:hAnsiTheme="minorHAnsi"/>
          <w:lang w:val="en-ZA"/>
        </w:rPr>
        <w:t>riginator, Investec Bank Limited,</w:t>
      </w:r>
      <w:r w:rsidR="00595A16">
        <w:rPr>
          <w:rFonts w:asciiTheme="minorHAnsi" w:hAnsiTheme="minorHAnsi"/>
          <w:lang w:val="en-ZA"/>
        </w:rPr>
        <w:t xml:space="preserve"> hereby </w:t>
      </w:r>
      <w:r>
        <w:rPr>
          <w:rFonts w:asciiTheme="minorHAnsi" w:hAnsiTheme="minorHAnsi"/>
          <w:lang w:val="en-ZA"/>
        </w:rPr>
        <w:t>clarifies</w:t>
      </w:r>
      <w:r w:rsidR="00595A16">
        <w:rPr>
          <w:rFonts w:asciiTheme="minorHAnsi" w:hAnsiTheme="minorHAnsi"/>
          <w:lang w:val="en-ZA"/>
        </w:rPr>
        <w:t xml:space="preserve"> to the noteholders </w:t>
      </w:r>
      <w:r w:rsidR="00595A16" w:rsidRPr="00292F61">
        <w:rPr>
          <w:rFonts w:asciiTheme="minorHAnsi" w:hAnsiTheme="minorHAnsi"/>
          <w:lang w:val="en-ZA"/>
        </w:rPr>
        <w:t xml:space="preserve">of the </w:t>
      </w:r>
      <w:r>
        <w:rPr>
          <w:rFonts w:asciiTheme="minorHAnsi" w:hAnsiTheme="minorHAnsi"/>
          <w:lang w:val="en-ZA"/>
        </w:rPr>
        <w:t xml:space="preserve">Fox Street 2 (RF) Limited </w:t>
      </w:r>
      <w:r w:rsidR="00595A16" w:rsidRPr="00292F61">
        <w:rPr>
          <w:rFonts w:asciiTheme="minorHAnsi" w:hAnsiTheme="minorHAnsi"/>
          <w:lang w:val="en-ZA"/>
        </w:rPr>
        <w:t>Class A5 Notes, Class B1 Notes, Class C1 Notes and Class D1 Notes that</w:t>
      </w:r>
      <w:r>
        <w:rPr>
          <w:rFonts w:asciiTheme="minorHAnsi" w:hAnsiTheme="minorHAnsi"/>
          <w:lang w:val="en-ZA"/>
        </w:rPr>
        <w:t>,</w:t>
      </w:r>
      <w:r w:rsidR="00595A16" w:rsidRPr="00292F61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although</w:t>
      </w:r>
      <w:r w:rsidR="00595A16" w:rsidRPr="00292F61">
        <w:rPr>
          <w:rFonts w:asciiTheme="minorHAnsi" w:hAnsiTheme="minorHAnsi"/>
          <w:lang w:val="en-ZA"/>
        </w:rPr>
        <w:t xml:space="preserve"> the next Quarterly Payment Date, being </w:t>
      </w:r>
      <w:r w:rsidR="005F442E">
        <w:rPr>
          <w:rFonts w:asciiTheme="minorHAnsi" w:hAnsiTheme="minorHAnsi"/>
          <w:b/>
          <w:lang w:val="en-ZA"/>
        </w:rPr>
        <w:t>20 February 2019</w:t>
      </w:r>
      <w:r w:rsidR="00595A16" w:rsidRPr="00292F61">
        <w:rPr>
          <w:rFonts w:asciiTheme="minorHAnsi" w:hAnsiTheme="minorHAnsi"/>
          <w:lang w:val="en-ZA"/>
        </w:rPr>
        <w:t xml:space="preserve">, </w:t>
      </w:r>
      <w:r>
        <w:rPr>
          <w:rFonts w:asciiTheme="minorHAnsi" w:hAnsiTheme="minorHAnsi"/>
          <w:lang w:val="en-ZA"/>
        </w:rPr>
        <w:t xml:space="preserve">is stipulated as the Originator Call Option Date in the Applicable Pricing Supplement of the Notes, the Programme Memorandum (Clause 7.4.4) states that the Originator is only entitled to </w:t>
      </w:r>
      <w:r w:rsidR="004A12A4">
        <w:rPr>
          <w:rFonts w:asciiTheme="minorHAnsi" w:hAnsiTheme="minorHAnsi"/>
          <w:lang w:val="en-ZA"/>
        </w:rPr>
        <w:t>purchase all or some of the Notes</w:t>
      </w:r>
      <w:r>
        <w:rPr>
          <w:rFonts w:asciiTheme="minorHAnsi" w:hAnsiTheme="minorHAnsi"/>
          <w:lang w:val="en-ZA"/>
        </w:rPr>
        <w:t xml:space="preserve"> on any </w:t>
      </w:r>
      <w:r w:rsidR="004A12A4">
        <w:rPr>
          <w:rFonts w:asciiTheme="minorHAnsi" w:hAnsiTheme="minorHAnsi"/>
          <w:lang w:val="en-ZA"/>
        </w:rPr>
        <w:t>Quarterly</w:t>
      </w:r>
      <w:r>
        <w:rPr>
          <w:rFonts w:asciiTheme="minorHAnsi" w:hAnsiTheme="minorHAnsi"/>
          <w:lang w:val="en-ZA"/>
        </w:rPr>
        <w:t xml:space="preserve"> </w:t>
      </w:r>
      <w:r w:rsidR="004A12A4">
        <w:rPr>
          <w:rFonts w:asciiTheme="minorHAnsi" w:hAnsiTheme="minorHAnsi"/>
          <w:lang w:val="en-ZA"/>
        </w:rPr>
        <w:t xml:space="preserve">Payment </w:t>
      </w:r>
      <w:r>
        <w:rPr>
          <w:rFonts w:asciiTheme="minorHAnsi" w:hAnsiTheme="minorHAnsi"/>
          <w:lang w:val="en-ZA"/>
        </w:rPr>
        <w:t>Date</w:t>
      </w:r>
      <w:r w:rsidR="004A12A4">
        <w:rPr>
          <w:rFonts w:asciiTheme="minorHAnsi" w:hAnsiTheme="minorHAnsi"/>
          <w:lang w:val="en-ZA"/>
        </w:rPr>
        <w:t xml:space="preserve"> </w:t>
      </w:r>
      <w:r w:rsidR="004A12A4" w:rsidRPr="00EF2CE7">
        <w:rPr>
          <w:rFonts w:asciiTheme="minorHAnsi" w:hAnsiTheme="minorHAnsi"/>
          <w:b/>
          <w:lang w:val="en-ZA"/>
        </w:rPr>
        <w:t>after</w:t>
      </w:r>
      <w:r w:rsidR="004A12A4">
        <w:rPr>
          <w:rFonts w:asciiTheme="minorHAnsi" w:hAnsiTheme="minorHAnsi"/>
          <w:lang w:val="en-ZA"/>
        </w:rPr>
        <w:t xml:space="preserve"> the</w:t>
      </w:r>
      <w:r>
        <w:rPr>
          <w:rFonts w:asciiTheme="minorHAnsi" w:hAnsiTheme="minorHAnsi"/>
          <w:lang w:val="en-ZA"/>
        </w:rPr>
        <w:t xml:space="preserve"> Originator Call Option Date .</w:t>
      </w:r>
      <w:r w:rsidR="004A12A4">
        <w:rPr>
          <w:rFonts w:asciiTheme="minorHAnsi" w:hAnsiTheme="minorHAnsi"/>
          <w:lang w:val="en-ZA"/>
        </w:rPr>
        <w:t xml:space="preserve">  </w:t>
      </w:r>
    </w:p>
    <w:p w:rsidR="004A12A4" w:rsidRPr="00EF2CE7" w:rsidRDefault="004A12A4" w:rsidP="00EF2CE7">
      <w:pPr>
        <w:rPr>
          <w:lang w:val="en-ZA"/>
        </w:rPr>
      </w:pPr>
    </w:p>
    <w:p w:rsidR="00595A16" w:rsidRPr="00292F61" w:rsidRDefault="004A12A4" w:rsidP="004A12A4">
      <w:pPr>
        <w:pStyle w:val="WerksmansStyle1"/>
        <w:spacing w:line="24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Accordingly </w:t>
      </w:r>
      <w:r w:rsidR="00595A16">
        <w:rPr>
          <w:rFonts w:asciiTheme="minorHAnsi" w:hAnsiTheme="minorHAnsi"/>
          <w:lang w:val="en-ZA"/>
        </w:rPr>
        <w:t xml:space="preserve">Investec Bank Limited will </w:t>
      </w:r>
      <w:r>
        <w:rPr>
          <w:rFonts w:asciiTheme="minorHAnsi" w:hAnsiTheme="minorHAnsi"/>
          <w:lang w:val="en-ZA"/>
        </w:rPr>
        <w:t xml:space="preserve">only be entitled to </w:t>
      </w:r>
      <w:r w:rsidR="00595A16" w:rsidRPr="00292F61">
        <w:rPr>
          <w:rFonts w:asciiTheme="minorHAnsi" w:hAnsiTheme="minorHAnsi"/>
          <w:lang w:val="en-ZA"/>
        </w:rPr>
        <w:t>purchase all</w:t>
      </w:r>
      <w:r>
        <w:rPr>
          <w:rFonts w:asciiTheme="minorHAnsi" w:hAnsiTheme="minorHAnsi"/>
          <w:lang w:val="en-ZA"/>
        </w:rPr>
        <w:t xml:space="preserve"> or some</w:t>
      </w:r>
      <w:bookmarkStart w:id="0" w:name="_GoBack"/>
      <w:bookmarkEnd w:id="0"/>
      <w:r>
        <w:rPr>
          <w:rFonts w:asciiTheme="minorHAnsi" w:hAnsiTheme="minorHAnsi"/>
          <w:lang w:val="en-ZA"/>
        </w:rPr>
        <w:t xml:space="preserve"> of</w:t>
      </w:r>
      <w:r w:rsidR="00595A16" w:rsidRPr="00292F61">
        <w:rPr>
          <w:rFonts w:asciiTheme="minorHAnsi" w:hAnsiTheme="minorHAnsi"/>
          <w:lang w:val="en-ZA"/>
        </w:rPr>
        <w:t xml:space="preserve"> the outstanding Class A5 Notes, Class B1 Notes, Class C1 Notes and Class D1 Notes</w:t>
      </w:r>
      <w:r>
        <w:rPr>
          <w:rFonts w:asciiTheme="minorHAnsi" w:hAnsiTheme="minorHAnsi"/>
          <w:lang w:val="en-ZA"/>
        </w:rPr>
        <w:t xml:space="preserve"> on </w:t>
      </w:r>
      <w:r w:rsidRPr="00EF2CE7">
        <w:rPr>
          <w:rFonts w:asciiTheme="minorHAnsi" w:hAnsiTheme="minorHAnsi"/>
          <w:b/>
          <w:lang w:val="en-ZA"/>
        </w:rPr>
        <w:t>20 May 2019</w:t>
      </w:r>
      <w:r>
        <w:rPr>
          <w:rFonts w:asciiTheme="minorHAnsi" w:hAnsiTheme="minorHAnsi"/>
          <w:lang w:val="en-ZA"/>
        </w:rPr>
        <w:t xml:space="preserve"> upon giving not more than 30(thirty), nor less than 20 (twenty) days’ prior notice to Noteholders at the time</w:t>
      </w:r>
      <w:r w:rsidR="00595A16">
        <w:rPr>
          <w:rFonts w:asciiTheme="minorHAnsi" w:hAnsiTheme="minorHAnsi"/>
          <w:lang w:val="en-ZA"/>
        </w:rPr>
        <w:t>.</w:t>
      </w:r>
    </w:p>
    <w:p w:rsidR="00F861BC" w:rsidRPr="00F861BC" w:rsidRDefault="00F861BC" w:rsidP="00F861BC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2925"/>
        <w:gridCol w:w="399"/>
        <w:gridCol w:w="3212"/>
      </w:tblGrid>
      <w:tr w:rsidR="00215307" w:rsidRPr="00F861BC" w:rsidTr="00EF2CE7">
        <w:trPr>
          <w:jc w:val="center"/>
        </w:trPr>
        <w:tc>
          <w:tcPr>
            <w:tcW w:w="1871" w:type="dxa"/>
          </w:tcPr>
          <w:p w:rsidR="00215307" w:rsidRPr="00F861BC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15307" w:rsidRDefault="00215307" w:rsidP="00595A1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</w:tc>
        <w:tc>
          <w:tcPr>
            <w:tcW w:w="2925" w:type="dxa"/>
            <w:hideMark/>
          </w:tcPr>
          <w:p w:rsidR="00215307" w:rsidRDefault="00215307" w:rsidP="00595A1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 xml:space="preserve">Originator (Investec Bank Limited) Call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>Option</w:t>
            </w:r>
            <w:r>
              <w:rPr>
                <w:rFonts w:asciiTheme="minorHAnsi" w:eastAsia="Times New Roman" w:hAnsiTheme="minorHAnsi"/>
                <w:b/>
                <w:lang w:val="en-ZA"/>
              </w:rPr>
              <w:t xml:space="preserve">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>Date</w:t>
            </w:r>
          </w:p>
          <w:p w:rsidR="00215307" w:rsidRDefault="00215307" w:rsidP="00595A16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215307" w:rsidRPr="00F861BC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99" w:type="dxa"/>
          </w:tcPr>
          <w:p w:rsidR="00215307" w:rsidRPr="00F861BC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15307" w:rsidRPr="00F861BC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 xml:space="preserve">Final </w:t>
            </w:r>
            <w:r w:rsidRPr="00F861BC">
              <w:rPr>
                <w:rFonts w:asciiTheme="minorHAnsi" w:eastAsia="Times New Roman" w:hAnsiTheme="minorHAnsi"/>
                <w:b/>
                <w:lang w:val="en-ZA"/>
              </w:rPr>
              <w:t xml:space="preserve">Maturity Date </w:t>
            </w:r>
          </w:p>
          <w:p w:rsidR="00215307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215307" w:rsidRPr="00F861BC" w:rsidRDefault="00215307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215307" w:rsidRPr="00F861BC" w:rsidTr="00EF2CE7">
        <w:trPr>
          <w:jc w:val="center"/>
        </w:trPr>
        <w:tc>
          <w:tcPr>
            <w:tcW w:w="1871" w:type="dxa"/>
            <w:hideMark/>
          </w:tcPr>
          <w:p w:rsidR="00215307" w:rsidRDefault="00215307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FS2A5 – ZAG000112715</w:t>
            </w:r>
          </w:p>
          <w:p w:rsidR="00215307" w:rsidRPr="004C5A8C" w:rsidRDefault="00215307" w:rsidP="00EF2CE7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15307" w:rsidRDefault="00215307" w:rsidP="005F44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2925" w:type="dxa"/>
            <w:hideMark/>
          </w:tcPr>
          <w:p w:rsidR="00215307" w:rsidRPr="004C5A8C" w:rsidRDefault="00215307" w:rsidP="005F44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20 February 2019</w:t>
            </w:r>
          </w:p>
        </w:tc>
        <w:tc>
          <w:tcPr>
            <w:tcW w:w="399" w:type="dxa"/>
          </w:tcPr>
          <w:p w:rsidR="00215307" w:rsidRPr="004C5A8C" w:rsidRDefault="00215307" w:rsidP="00AA0D6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  <w:hideMark/>
          </w:tcPr>
          <w:p w:rsidR="00215307" w:rsidRPr="004C5A8C" w:rsidRDefault="00215307" w:rsidP="005F442E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20 August 2038</w:t>
            </w:r>
          </w:p>
        </w:tc>
      </w:tr>
      <w:tr w:rsidR="00215307" w:rsidRPr="00F861BC" w:rsidTr="00EF2CE7">
        <w:trPr>
          <w:jc w:val="center"/>
        </w:trPr>
        <w:tc>
          <w:tcPr>
            <w:tcW w:w="1871" w:type="dxa"/>
          </w:tcPr>
          <w:p w:rsidR="00215307" w:rsidRDefault="00215307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FS2B1 – ZAG000112723</w:t>
            </w:r>
          </w:p>
          <w:p w:rsidR="00215307" w:rsidRPr="004C5A8C" w:rsidRDefault="00215307" w:rsidP="00EF2CE7">
            <w:pPr>
              <w:ind w:right="114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215307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2925" w:type="dxa"/>
          </w:tcPr>
          <w:p w:rsidR="00215307" w:rsidRPr="004C5A8C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20 February 2019</w:t>
            </w:r>
          </w:p>
        </w:tc>
        <w:tc>
          <w:tcPr>
            <w:tcW w:w="399" w:type="dxa"/>
          </w:tcPr>
          <w:p w:rsidR="00215307" w:rsidRPr="004C5A8C" w:rsidRDefault="00215307" w:rsidP="00AA0D6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15307" w:rsidRPr="004C5A8C" w:rsidRDefault="00215307" w:rsidP="005F442E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20 August 2038</w:t>
            </w:r>
          </w:p>
        </w:tc>
      </w:tr>
      <w:tr w:rsidR="00215307" w:rsidRPr="00F861BC" w:rsidTr="00EF2CE7">
        <w:trPr>
          <w:jc w:val="center"/>
        </w:trPr>
        <w:tc>
          <w:tcPr>
            <w:tcW w:w="1871" w:type="dxa"/>
          </w:tcPr>
          <w:p w:rsidR="00215307" w:rsidRDefault="00215307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FS2C1 – ZAG000112731</w:t>
            </w:r>
          </w:p>
          <w:p w:rsidR="00215307" w:rsidRPr="003A7ABA" w:rsidRDefault="00215307" w:rsidP="00EF2CE7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215307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2925" w:type="dxa"/>
          </w:tcPr>
          <w:p w:rsidR="00215307" w:rsidRPr="004C5A8C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20 February 2019</w:t>
            </w:r>
          </w:p>
        </w:tc>
        <w:tc>
          <w:tcPr>
            <w:tcW w:w="399" w:type="dxa"/>
          </w:tcPr>
          <w:p w:rsidR="00215307" w:rsidRPr="004C5A8C" w:rsidRDefault="00215307" w:rsidP="00AA0D6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15307" w:rsidRPr="004C5A8C" w:rsidRDefault="00215307" w:rsidP="005F442E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20 August 2038</w:t>
            </w:r>
          </w:p>
        </w:tc>
      </w:tr>
      <w:tr w:rsidR="00215307" w:rsidRPr="00F861BC" w:rsidTr="00EF2CE7">
        <w:trPr>
          <w:jc w:val="center"/>
        </w:trPr>
        <w:tc>
          <w:tcPr>
            <w:tcW w:w="1871" w:type="dxa"/>
          </w:tcPr>
          <w:p w:rsidR="00215307" w:rsidRDefault="00215307" w:rsidP="00AA0D6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FS2D1 – ZAG000112749</w:t>
            </w:r>
          </w:p>
          <w:p w:rsidR="00215307" w:rsidRPr="003A7ABA" w:rsidRDefault="00215307" w:rsidP="00EF2CE7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215307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2925" w:type="dxa"/>
          </w:tcPr>
          <w:p w:rsidR="00215307" w:rsidRPr="004C5A8C" w:rsidRDefault="00215307" w:rsidP="003F6A45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20 February 2019</w:t>
            </w:r>
          </w:p>
        </w:tc>
        <w:tc>
          <w:tcPr>
            <w:tcW w:w="399" w:type="dxa"/>
          </w:tcPr>
          <w:p w:rsidR="00215307" w:rsidRPr="004C5A8C" w:rsidRDefault="00215307" w:rsidP="00AA0D6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15307" w:rsidRPr="004C5A8C" w:rsidRDefault="00215307" w:rsidP="005F442E">
            <w:pPr>
              <w:ind w:right="720"/>
              <w:jc w:val="center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>20 August 2038</w:t>
            </w:r>
          </w:p>
        </w:tc>
      </w:tr>
    </w:tbl>
    <w:p w:rsidR="00F861BC" w:rsidRPr="00F861BC" w:rsidRDefault="00F861BC" w:rsidP="00F861BC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/>
          <w:lang w:val="en-ZA"/>
        </w:rPr>
        <w:t>For further information on the Note issued please contact:</w:t>
      </w:r>
      <w:r w:rsidRPr="00F861BC">
        <w:rPr>
          <w:rFonts w:asciiTheme="minorHAnsi" w:hAnsiTheme="minorHAnsi" w:cs="Arial"/>
          <w:lang w:val="en-ZA"/>
        </w:rPr>
        <w:tab/>
      </w:r>
    </w:p>
    <w:p w:rsidR="00F861BC" w:rsidRP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</w:p>
    <w:p w:rsidR="004A12A4" w:rsidRDefault="004A12A4" w:rsidP="003F6A45">
      <w:pPr>
        <w:pStyle w:val="BodyText"/>
        <w:spacing w:before="0" w:after="0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Annerie Botha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 w:rsidR="00EF2CE7">
        <w:rPr>
          <w:rFonts w:eastAsia="Batang"/>
          <w:sz w:val="18"/>
          <w:szCs w:val="18"/>
        </w:rPr>
        <w:t xml:space="preserve">     </w:t>
      </w:r>
      <w:r w:rsidRPr="004A12A4">
        <w:rPr>
          <w:rFonts w:eastAsia="Batang"/>
          <w:sz w:val="18"/>
          <w:szCs w:val="18"/>
        </w:rPr>
        <w:t>Investec Bank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 w:rsidR="00EF2CE7">
        <w:rPr>
          <w:rFonts w:eastAsia="Batang"/>
          <w:sz w:val="18"/>
          <w:szCs w:val="18"/>
        </w:rPr>
        <w:t xml:space="preserve">     </w:t>
      </w:r>
      <w:r w:rsidR="00EF2CE7">
        <w:rPr>
          <w:rFonts w:eastAsia="Batang"/>
          <w:sz w:val="18"/>
          <w:szCs w:val="18"/>
        </w:rPr>
        <w:tab/>
        <w:t xml:space="preserve"> </w:t>
      </w:r>
      <w:r>
        <w:rPr>
          <w:rFonts w:eastAsia="Batang"/>
          <w:sz w:val="18"/>
          <w:szCs w:val="18"/>
        </w:rPr>
        <w:t>+2711 2867211</w:t>
      </w:r>
    </w:p>
    <w:p w:rsidR="003F6A45" w:rsidRDefault="005F442E" w:rsidP="003F6A45">
      <w:pPr>
        <w:pStyle w:val="BodyText"/>
        <w:spacing w:before="0" w:after="0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Carl Zeiler</w:t>
      </w:r>
      <w:r w:rsidR="003F6A45">
        <w:rPr>
          <w:rFonts w:eastAsia="Batang"/>
          <w:sz w:val="18"/>
          <w:szCs w:val="18"/>
        </w:rPr>
        <w:t xml:space="preserve"> </w:t>
      </w:r>
      <w:r w:rsidR="003F6A45">
        <w:rPr>
          <w:rFonts w:eastAsia="Batang"/>
          <w:sz w:val="18"/>
          <w:szCs w:val="18"/>
        </w:rPr>
        <w:tab/>
      </w:r>
      <w:r w:rsidR="003F6A45">
        <w:rPr>
          <w:rFonts w:eastAsia="Batang"/>
          <w:sz w:val="18"/>
          <w:szCs w:val="18"/>
        </w:rPr>
        <w:tab/>
      </w:r>
      <w:r w:rsidR="003F6A45">
        <w:rPr>
          <w:rFonts w:eastAsia="Batang"/>
          <w:sz w:val="18"/>
          <w:szCs w:val="18"/>
        </w:rPr>
        <w:tab/>
      </w:r>
      <w:r w:rsidR="003F6A45">
        <w:rPr>
          <w:rFonts w:eastAsia="Batang"/>
          <w:sz w:val="18"/>
          <w:szCs w:val="18"/>
        </w:rPr>
        <w:tab/>
        <w:t xml:space="preserve">     </w:t>
      </w:r>
      <w:r w:rsidR="003F6A45" w:rsidRPr="00CD498B">
        <w:rPr>
          <w:rFonts w:eastAsia="Batang"/>
          <w:sz w:val="18"/>
          <w:szCs w:val="18"/>
        </w:rPr>
        <w:t>Investec</w:t>
      </w:r>
      <w:r w:rsidR="003F6A45">
        <w:rPr>
          <w:rFonts w:eastAsia="Batang"/>
          <w:sz w:val="18"/>
          <w:szCs w:val="18"/>
        </w:rPr>
        <w:tab/>
      </w:r>
      <w:r w:rsidR="003F6A45" w:rsidRPr="00CD498B">
        <w:rPr>
          <w:rFonts w:eastAsia="Batang"/>
          <w:sz w:val="18"/>
          <w:szCs w:val="18"/>
        </w:rPr>
        <w:tab/>
      </w:r>
      <w:r w:rsidR="003F6A45" w:rsidRPr="00CD498B">
        <w:rPr>
          <w:rFonts w:eastAsia="Batang"/>
          <w:sz w:val="18"/>
          <w:szCs w:val="18"/>
        </w:rPr>
        <w:tab/>
        <w:t xml:space="preserve">                  </w:t>
      </w:r>
      <w:r w:rsidR="003F6A45">
        <w:rPr>
          <w:rFonts w:eastAsia="Batang"/>
          <w:sz w:val="18"/>
          <w:szCs w:val="18"/>
        </w:rPr>
        <w:t xml:space="preserve">  </w:t>
      </w:r>
      <w:r w:rsidR="00EF2CE7">
        <w:rPr>
          <w:rFonts w:eastAsia="Batang"/>
          <w:sz w:val="18"/>
          <w:szCs w:val="18"/>
        </w:rPr>
        <w:tab/>
      </w:r>
      <w:r w:rsidR="003F6A45">
        <w:rPr>
          <w:rFonts w:eastAsia="Batang"/>
          <w:sz w:val="18"/>
          <w:szCs w:val="18"/>
        </w:rPr>
        <w:t xml:space="preserve"> +2711 291 </w:t>
      </w:r>
      <w:r>
        <w:rPr>
          <w:rFonts w:eastAsia="Batang"/>
          <w:sz w:val="18"/>
          <w:szCs w:val="18"/>
        </w:rPr>
        <w:t>328</w:t>
      </w:r>
      <w:r w:rsidR="00EF2CE7">
        <w:rPr>
          <w:rFonts w:eastAsia="Batang"/>
          <w:sz w:val="18"/>
          <w:szCs w:val="18"/>
        </w:rPr>
        <w:t>7</w:t>
      </w:r>
    </w:p>
    <w:p w:rsidR="003F6A45" w:rsidRDefault="003F6A45" w:rsidP="003F6A45">
      <w:pPr>
        <w:pStyle w:val="BodyText"/>
        <w:spacing w:before="0" w:after="0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>Corporate Actions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JSE</w:t>
      </w:r>
      <w:r w:rsidRPr="00CD498B">
        <w:rPr>
          <w:rFonts w:eastAsia="Batang"/>
          <w:sz w:val="18"/>
          <w:szCs w:val="18"/>
        </w:rPr>
        <w:tab/>
        <w:t xml:space="preserve">                   </w:t>
      </w:r>
      <w:r>
        <w:rPr>
          <w:rFonts w:eastAsia="Batang"/>
          <w:sz w:val="18"/>
          <w:szCs w:val="18"/>
        </w:rPr>
        <w:t xml:space="preserve"> </w:t>
      </w:r>
      <w:r w:rsidRPr="00CD498B">
        <w:rPr>
          <w:rFonts w:eastAsia="Batang"/>
          <w:sz w:val="18"/>
          <w:szCs w:val="18"/>
        </w:rPr>
        <w:t xml:space="preserve"> </w:t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</w:r>
      <w:r>
        <w:rPr>
          <w:rFonts w:eastAsia="Batang"/>
          <w:sz w:val="18"/>
          <w:szCs w:val="18"/>
        </w:rPr>
        <w:tab/>
        <w:t xml:space="preserve">       </w:t>
      </w:r>
      <w:r w:rsidR="00EF2CE7">
        <w:rPr>
          <w:rFonts w:eastAsia="Batang"/>
          <w:sz w:val="18"/>
          <w:szCs w:val="18"/>
        </w:rPr>
        <w:tab/>
        <w:t xml:space="preserve"> </w:t>
      </w:r>
      <w:r>
        <w:rPr>
          <w:rFonts w:eastAsia="Batang"/>
          <w:sz w:val="18"/>
          <w:szCs w:val="18"/>
        </w:rPr>
        <w:t>+2711 520 7000</w:t>
      </w:r>
      <w:r w:rsidRPr="00CD498B">
        <w:rPr>
          <w:rFonts w:eastAsia="Batang"/>
          <w:sz w:val="18"/>
          <w:szCs w:val="18"/>
        </w:rPr>
        <w:t xml:space="preserve"> </w:t>
      </w:r>
    </w:p>
    <w:p w:rsidR="003F6A45" w:rsidRPr="004C5A8C" w:rsidRDefault="003F6A45" w:rsidP="003F6A4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861BC" w:rsidRDefault="00F861BC" w:rsidP="00F861B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684C3E" w:rsidRDefault="00085030" w:rsidP="0027661D">
      <w:pPr>
        <w:rPr>
          <w:rFonts w:asciiTheme="minorHAnsi" w:hAnsiTheme="minorHAnsi"/>
        </w:rPr>
      </w:pPr>
    </w:p>
    <w:sectPr w:rsidR="00085030" w:rsidRPr="00684C3E" w:rsidSect="00CC13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64" w:rsidRDefault="00E86664">
      <w:r>
        <w:separator/>
      </w:r>
    </w:p>
  </w:endnote>
  <w:endnote w:type="continuationSeparator" w:id="0">
    <w:p w:rsidR="00E86664" w:rsidRDefault="00E8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EF2CE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EF2CE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64" w:rsidRDefault="00E86664">
      <w:r>
        <w:separator/>
      </w:r>
    </w:p>
  </w:footnote>
  <w:footnote w:type="continuationSeparator" w:id="0">
    <w:p w:rsidR="00E86664" w:rsidRDefault="00E86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6143C46"/>
    <w:multiLevelType w:val="multilevel"/>
    <w:tmpl w:val="7C16CCA2"/>
    <w:lvl w:ilvl="0">
      <w:start w:val="1"/>
      <w:numFmt w:val="decimal"/>
      <w:pStyle w:val="WerksmansStyle1"/>
      <w:lvlText w:val="%1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pStyle w:val="WerksmansStyle2"/>
      <w:lvlText w:val="%1.%2"/>
      <w:lvlJc w:val="left"/>
      <w:pPr>
        <w:tabs>
          <w:tab w:val="num" w:pos="1021"/>
        </w:tabs>
        <w:ind w:left="1021" w:hanging="1021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WerksmansStyle3"/>
      <w:lvlText w:val="%1.%2.%3"/>
      <w:lvlJc w:val="left"/>
      <w:pPr>
        <w:tabs>
          <w:tab w:val="num" w:pos="1531"/>
        </w:tabs>
        <w:ind w:left="1531" w:hanging="153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WerksmansStyle4"/>
      <w:lvlText w:val="%1.%2.%3.%4"/>
      <w:lvlJc w:val="left"/>
      <w:pPr>
        <w:tabs>
          <w:tab w:val="num" w:pos="2041"/>
        </w:tabs>
        <w:ind w:left="2041" w:hanging="204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pStyle w:val="WerksmansStyle5"/>
      <w:lvlText w:val="%1.%2.%3.%4.%5"/>
      <w:lvlJc w:val="left"/>
      <w:pPr>
        <w:tabs>
          <w:tab w:val="num" w:pos="2552"/>
        </w:tabs>
        <w:ind w:left="2552" w:hanging="2552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pStyle w:val="WerksmansStyle6"/>
      <w:lvlText w:val="%1.%2.%3.%4.%5.%6"/>
      <w:lvlJc w:val="left"/>
      <w:pPr>
        <w:tabs>
          <w:tab w:val="num" w:pos="3062"/>
        </w:tabs>
        <w:ind w:left="3062" w:hanging="3062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pStyle w:val="WerksmansStyle7"/>
      <w:lvlText w:val="%1.%2.%3.%4.%5.%6.%7"/>
      <w:lvlJc w:val="left"/>
      <w:pPr>
        <w:tabs>
          <w:tab w:val="num" w:pos="3572"/>
        </w:tabs>
        <w:ind w:left="3572" w:hanging="3572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WerksmansStyle8"/>
      <w:lvlText w:val="%1.%2.%3.%4.%5.%6.%7.%8"/>
      <w:lvlJc w:val="left"/>
      <w:pPr>
        <w:tabs>
          <w:tab w:val="num" w:pos="4082"/>
        </w:tabs>
        <w:ind w:left="4082" w:hanging="4082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decimal"/>
      <w:pStyle w:val="WerksmansStyle9"/>
      <w:lvlText w:val="%1.%2.%3.%4.%5.%6.%7.%8.%9"/>
      <w:lvlJc w:val="left"/>
      <w:pPr>
        <w:tabs>
          <w:tab w:val="num" w:pos="4593"/>
        </w:tabs>
        <w:ind w:left="4593" w:hanging="4593"/>
      </w:pPr>
      <w:rPr>
        <w:rFonts w:ascii="Verdana" w:hAnsi="Verdana" w:hint="default"/>
        <w:b w:val="0"/>
        <w:i w:val="0"/>
        <w:sz w:val="20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rie Botha">
    <w15:presenceInfo w15:providerId="AD" w15:userId="S-1-5-21-2658941983-88728025-1827694959-1145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7544"/>
    <w:rsid w:val="001F5A7E"/>
    <w:rsid w:val="00201710"/>
    <w:rsid w:val="00203E71"/>
    <w:rsid w:val="002129A1"/>
    <w:rsid w:val="00212E7B"/>
    <w:rsid w:val="00215307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A45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3F3"/>
    <w:rsid w:val="004A071C"/>
    <w:rsid w:val="004A12A4"/>
    <w:rsid w:val="004A249D"/>
    <w:rsid w:val="004A2A98"/>
    <w:rsid w:val="004A7355"/>
    <w:rsid w:val="004B03EE"/>
    <w:rsid w:val="004B261A"/>
    <w:rsid w:val="004B261C"/>
    <w:rsid w:val="004B38D4"/>
    <w:rsid w:val="004B5A0D"/>
    <w:rsid w:val="004B7174"/>
    <w:rsid w:val="004B7F92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B91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EB1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5A1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442E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A05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E4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6664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CE7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61BC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F861BC"/>
  </w:style>
  <w:style w:type="paragraph" w:customStyle="1" w:styleId="WerksmansStyle2">
    <w:name w:val="Werksmans_Style2"/>
    <w:basedOn w:val="Normal"/>
    <w:next w:val="Normal"/>
    <w:rsid w:val="00595A16"/>
    <w:pPr>
      <w:numPr>
        <w:ilvl w:val="1"/>
        <w:numId w:val="7"/>
      </w:numPr>
      <w:suppressAutoHyphens/>
      <w:spacing w:line="360" w:lineRule="auto"/>
      <w:jc w:val="both"/>
      <w:outlineLvl w:val="1"/>
    </w:pPr>
    <w:rPr>
      <w:rFonts w:ascii="Verdana" w:eastAsia="Times New Roman" w:hAnsi="Verdana"/>
      <w:snapToGrid w:val="0"/>
      <w:lang w:val="en-GB"/>
    </w:rPr>
  </w:style>
  <w:style w:type="paragraph" w:customStyle="1" w:styleId="WerksmansStyle3">
    <w:name w:val="Werksmans_Style3"/>
    <w:basedOn w:val="Normal"/>
    <w:next w:val="Normal"/>
    <w:rsid w:val="00595A16"/>
    <w:pPr>
      <w:numPr>
        <w:ilvl w:val="2"/>
        <w:numId w:val="7"/>
      </w:numPr>
      <w:suppressAutoHyphens/>
      <w:spacing w:line="360" w:lineRule="auto"/>
      <w:jc w:val="both"/>
      <w:outlineLvl w:val="2"/>
    </w:pPr>
    <w:rPr>
      <w:rFonts w:ascii="Verdana" w:eastAsia="Times New Roman" w:hAnsi="Verdana"/>
      <w:snapToGrid w:val="0"/>
      <w:lang w:val="en-GB"/>
    </w:rPr>
  </w:style>
  <w:style w:type="paragraph" w:customStyle="1" w:styleId="WerksmansStyle4">
    <w:name w:val="Werksmans_Style4"/>
    <w:basedOn w:val="Normal"/>
    <w:next w:val="Normal"/>
    <w:rsid w:val="00595A16"/>
    <w:pPr>
      <w:numPr>
        <w:ilvl w:val="3"/>
        <w:numId w:val="7"/>
      </w:numPr>
      <w:suppressAutoHyphens/>
      <w:spacing w:line="360" w:lineRule="auto"/>
      <w:jc w:val="both"/>
      <w:outlineLvl w:val="3"/>
    </w:pPr>
    <w:rPr>
      <w:rFonts w:ascii="Verdana" w:eastAsia="Times New Roman" w:hAnsi="Verdana"/>
      <w:snapToGrid w:val="0"/>
      <w:lang w:val="en-GB"/>
    </w:rPr>
  </w:style>
  <w:style w:type="paragraph" w:customStyle="1" w:styleId="WerksmansStyle5">
    <w:name w:val="Werksmans_Style5"/>
    <w:basedOn w:val="Normal"/>
    <w:next w:val="Normal"/>
    <w:rsid w:val="00595A16"/>
    <w:pPr>
      <w:numPr>
        <w:ilvl w:val="4"/>
        <w:numId w:val="7"/>
      </w:numPr>
      <w:suppressAutoHyphens/>
      <w:spacing w:line="360" w:lineRule="auto"/>
      <w:jc w:val="both"/>
      <w:outlineLvl w:val="4"/>
    </w:pPr>
    <w:rPr>
      <w:rFonts w:ascii="Verdana" w:eastAsia="Times New Roman" w:hAnsi="Verdana"/>
      <w:snapToGrid w:val="0"/>
      <w:lang w:val="en-GB"/>
    </w:rPr>
  </w:style>
  <w:style w:type="paragraph" w:customStyle="1" w:styleId="WerksmansStyle6">
    <w:name w:val="Werksmans_Style6"/>
    <w:basedOn w:val="Normal"/>
    <w:next w:val="Normal"/>
    <w:rsid w:val="00595A16"/>
    <w:pPr>
      <w:numPr>
        <w:ilvl w:val="5"/>
        <w:numId w:val="7"/>
      </w:numPr>
      <w:suppressAutoHyphens/>
      <w:spacing w:line="360" w:lineRule="auto"/>
      <w:jc w:val="both"/>
      <w:outlineLvl w:val="5"/>
    </w:pPr>
    <w:rPr>
      <w:rFonts w:ascii="Verdana" w:eastAsia="Times New Roman" w:hAnsi="Verdana"/>
      <w:snapToGrid w:val="0"/>
      <w:lang w:val="en-GB"/>
    </w:rPr>
  </w:style>
  <w:style w:type="paragraph" w:customStyle="1" w:styleId="WerksmansStyle7">
    <w:name w:val="Werksmans_Style7"/>
    <w:basedOn w:val="Normal"/>
    <w:next w:val="Normal"/>
    <w:rsid w:val="00595A16"/>
    <w:pPr>
      <w:numPr>
        <w:ilvl w:val="6"/>
        <w:numId w:val="7"/>
      </w:numPr>
      <w:suppressAutoHyphens/>
      <w:spacing w:line="360" w:lineRule="auto"/>
      <w:jc w:val="both"/>
      <w:outlineLvl w:val="6"/>
    </w:pPr>
    <w:rPr>
      <w:rFonts w:ascii="Verdana" w:eastAsia="Times New Roman" w:hAnsi="Verdana"/>
      <w:snapToGrid w:val="0"/>
      <w:lang w:val="en-GB"/>
    </w:rPr>
  </w:style>
  <w:style w:type="paragraph" w:customStyle="1" w:styleId="WerksmansStyle8">
    <w:name w:val="Werksmans_Style8"/>
    <w:basedOn w:val="Normal"/>
    <w:next w:val="Normal"/>
    <w:rsid w:val="00595A16"/>
    <w:pPr>
      <w:numPr>
        <w:ilvl w:val="7"/>
        <w:numId w:val="7"/>
      </w:numPr>
      <w:suppressAutoHyphens/>
      <w:spacing w:line="360" w:lineRule="auto"/>
      <w:jc w:val="both"/>
      <w:outlineLvl w:val="7"/>
    </w:pPr>
    <w:rPr>
      <w:rFonts w:ascii="Verdana" w:eastAsia="Times New Roman" w:hAnsi="Verdana"/>
      <w:snapToGrid w:val="0"/>
      <w:lang w:val="en-GB"/>
    </w:rPr>
  </w:style>
  <w:style w:type="paragraph" w:customStyle="1" w:styleId="WerksmansStyle9">
    <w:name w:val="Werksmans_Style9"/>
    <w:basedOn w:val="Normal"/>
    <w:next w:val="Normal"/>
    <w:rsid w:val="00595A16"/>
    <w:pPr>
      <w:numPr>
        <w:ilvl w:val="8"/>
        <w:numId w:val="7"/>
      </w:numPr>
      <w:suppressAutoHyphens/>
      <w:spacing w:line="360" w:lineRule="auto"/>
      <w:jc w:val="both"/>
      <w:outlineLvl w:val="8"/>
    </w:pPr>
    <w:rPr>
      <w:rFonts w:ascii="Verdana" w:eastAsia="Times New Roman" w:hAnsi="Verdana"/>
      <w:snapToGrid w:val="0"/>
      <w:lang w:val="en-GB"/>
    </w:rPr>
  </w:style>
  <w:style w:type="paragraph" w:customStyle="1" w:styleId="WerksmansStyle1">
    <w:name w:val="Werksmans_Style1"/>
    <w:basedOn w:val="Normal"/>
    <w:next w:val="Normal"/>
    <w:link w:val="WerksmansStyle1Char"/>
    <w:rsid w:val="00595A16"/>
    <w:pPr>
      <w:numPr>
        <w:numId w:val="7"/>
      </w:numPr>
      <w:suppressAutoHyphens/>
      <w:spacing w:line="360" w:lineRule="auto"/>
      <w:jc w:val="both"/>
      <w:outlineLvl w:val="0"/>
    </w:pPr>
    <w:rPr>
      <w:rFonts w:ascii="Verdana" w:eastAsia="Times New Roman" w:hAnsi="Verdana"/>
      <w:snapToGrid w:val="0"/>
      <w:lang w:val="en-GB"/>
    </w:rPr>
  </w:style>
  <w:style w:type="character" w:customStyle="1" w:styleId="WerksmansStyle1Char">
    <w:name w:val="Werksmans_Style1 Char"/>
    <w:link w:val="WerksmansStyle1"/>
    <w:rsid w:val="00595A16"/>
    <w:rPr>
      <w:rFonts w:ascii="Verdana" w:eastAsia="Times New Roman" w:hAnsi="Verdana"/>
      <w:snapToGrid w:val="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F861BC"/>
  </w:style>
  <w:style w:type="paragraph" w:customStyle="1" w:styleId="WerksmansStyle2">
    <w:name w:val="Werksmans_Style2"/>
    <w:basedOn w:val="Normal"/>
    <w:next w:val="Normal"/>
    <w:rsid w:val="00595A16"/>
    <w:pPr>
      <w:numPr>
        <w:ilvl w:val="1"/>
        <w:numId w:val="7"/>
      </w:numPr>
      <w:suppressAutoHyphens/>
      <w:spacing w:line="360" w:lineRule="auto"/>
      <w:jc w:val="both"/>
      <w:outlineLvl w:val="1"/>
    </w:pPr>
    <w:rPr>
      <w:rFonts w:ascii="Verdana" w:eastAsia="Times New Roman" w:hAnsi="Verdana"/>
      <w:snapToGrid w:val="0"/>
      <w:lang w:val="en-GB"/>
    </w:rPr>
  </w:style>
  <w:style w:type="paragraph" w:customStyle="1" w:styleId="WerksmansStyle3">
    <w:name w:val="Werksmans_Style3"/>
    <w:basedOn w:val="Normal"/>
    <w:next w:val="Normal"/>
    <w:rsid w:val="00595A16"/>
    <w:pPr>
      <w:numPr>
        <w:ilvl w:val="2"/>
        <w:numId w:val="7"/>
      </w:numPr>
      <w:suppressAutoHyphens/>
      <w:spacing w:line="360" w:lineRule="auto"/>
      <w:jc w:val="both"/>
      <w:outlineLvl w:val="2"/>
    </w:pPr>
    <w:rPr>
      <w:rFonts w:ascii="Verdana" w:eastAsia="Times New Roman" w:hAnsi="Verdana"/>
      <w:snapToGrid w:val="0"/>
      <w:lang w:val="en-GB"/>
    </w:rPr>
  </w:style>
  <w:style w:type="paragraph" w:customStyle="1" w:styleId="WerksmansStyle4">
    <w:name w:val="Werksmans_Style4"/>
    <w:basedOn w:val="Normal"/>
    <w:next w:val="Normal"/>
    <w:rsid w:val="00595A16"/>
    <w:pPr>
      <w:numPr>
        <w:ilvl w:val="3"/>
        <w:numId w:val="7"/>
      </w:numPr>
      <w:suppressAutoHyphens/>
      <w:spacing w:line="360" w:lineRule="auto"/>
      <w:jc w:val="both"/>
      <w:outlineLvl w:val="3"/>
    </w:pPr>
    <w:rPr>
      <w:rFonts w:ascii="Verdana" w:eastAsia="Times New Roman" w:hAnsi="Verdana"/>
      <w:snapToGrid w:val="0"/>
      <w:lang w:val="en-GB"/>
    </w:rPr>
  </w:style>
  <w:style w:type="paragraph" w:customStyle="1" w:styleId="WerksmansStyle5">
    <w:name w:val="Werksmans_Style5"/>
    <w:basedOn w:val="Normal"/>
    <w:next w:val="Normal"/>
    <w:rsid w:val="00595A16"/>
    <w:pPr>
      <w:numPr>
        <w:ilvl w:val="4"/>
        <w:numId w:val="7"/>
      </w:numPr>
      <w:suppressAutoHyphens/>
      <w:spacing w:line="360" w:lineRule="auto"/>
      <w:jc w:val="both"/>
      <w:outlineLvl w:val="4"/>
    </w:pPr>
    <w:rPr>
      <w:rFonts w:ascii="Verdana" w:eastAsia="Times New Roman" w:hAnsi="Verdana"/>
      <w:snapToGrid w:val="0"/>
      <w:lang w:val="en-GB"/>
    </w:rPr>
  </w:style>
  <w:style w:type="paragraph" w:customStyle="1" w:styleId="WerksmansStyle6">
    <w:name w:val="Werksmans_Style6"/>
    <w:basedOn w:val="Normal"/>
    <w:next w:val="Normal"/>
    <w:rsid w:val="00595A16"/>
    <w:pPr>
      <w:numPr>
        <w:ilvl w:val="5"/>
        <w:numId w:val="7"/>
      </w:numPr>
      <w:suppressAutoHyphens/>
      <w:spacing w:line="360" w:lineRule="auto"/>
      <w:jc w:val="both"/>
      <w:outlineLvl w:val="5"/>
    </w:pPr>
    <w:rPr>
      <w:rFonts w:ascii="Verdana" w:eastAsia="Times New Roman" w:hAnsi="Verdana"/>
      <w:snapToGrid w:val="0"/>
      <w:lang w:val="en-GB"/>
    </w:rPr>
  </w:style>
  <w:style w:type="paragraph" w:customStyle="1" w:styleId="WerksmansStyle7">
    <w:name w:val="Werksmans_Style7"/>
    <w:basedOn w:val="Normal"/>
    <w:next w:val="Normal"/>
    <w:rsid w:val="00595A16"/>
    <w:pPr>
      <w:numPr>
        <w:ilvl w:val="6"/>
        <w:numId w:val="7"/>
      </w:numPr>
      <w:suppressAutoHyphens/>
      <w:spacing w:line="360" w:lineRule="auto"/>
      <w:jc w:val="both"/>
      <w:outlineLvl w:val="6"/>
    </w:pPr>
    <w:rPr>
      <w:rFonts w:ascii="Verdana" w:eastAsia="Times New Roman" w:hAnsi="Verdana"/>
      <w:snapToGrid w:val="0"/>
      <w:lang w:val="en-GB"/>
    </w:rPr>
  </w:style>
  <w:style w:type="paragraph" w:customStyle="1" w:styleId="WerksmansStyle8">
    <w:name w:val="Werksmans_Style8"/>
    <w:basedOn w:val="Normal"/>
    <w:next w:val="Normal"/>
    <w:rsid w:val="00595A16"/>
    <w:pPr>
      <w:numPr>
        <w:ilvl w:val="7"/>
        <w:numId w:val="7"/>
      </w:numPr>
      <w:suppressAutoHyphens/>
      <w:spacing w:line="360" w:lineRule="auto"/>
      <w:jc w:val="both"/>
      <w:outlineLvl w:val="7"/>
    </w:pPr>
    <w:rPr>
      <w:rFonts w:ascii="Verdana" w:eastAsia="Times New Roman" w:hAnsi="Verdana"/>
      <w:snapToGrid w:val="0"/>
      <w:lang w:val="en-GB"/>
    </w:rPr>
  </w:style>
  <w:style w:type="paragraph" w:customStyle="1" w:styleId="WerksmansStyle9">
    <w:name w:val="Werksmans_Style9"/>
    <w:basedOn w:val="Normal"/>
    <w:next w:val="Normal"/>
    <w:rsid w:val="00595A16"/>
    <w:pPr>
      <w:numPr>
        <w:ilvl w:val="8"/>
        <w:numId w:val="7"/>
      </w:numPr>
      <w:suppressAutoHyphens/>
      <w:spacing w:line="360" w:lineRule="auto"/>
      <w:jc w:val="both"/>
      <w:outlineLvl w:val="8"/>
    </w:pPr>
    <w:rPr>
      <w:rFonts w:ascii="Verdana" w:eastAsia="Times New Roman" w:hAnsi="Verdana"/>
      <w:snapToGrid w:val="0"/>
      <w:lang w:val="en-GB"/>
    </w:rPr>
  </w:style>
  <w:style w:type="paragraph" w:customStyle="1" w:styleId="WerksmansStyle1">
    <w:name w:val="Werksmans_Style1"/>
    <w:basedOn w:val="Normal"/>
    <w:next w:val="Normal"/>
    <w:link w:val="WerksmansStyle1Char"/>
    <w:rsid w:val="00595A16"/>
    <w:pPr>
      <w:numPr>
        <w:numId w:val="7"/>
      </w:numPr>
      <w:suppressAutoHyphens/>
      <w:spacing w:line="360" w:lineRule="auto"/>
      <w:jc w:val="both"/>
      <w:outlineLvl w:val="0"/>
    </w:pPr>
    <w:rPr>
      <w:rFonts w:ascii="Verdana" w:eastAsia="Times New Roman" w:hAnsi="Verdana"/>
      <w:snapToGrid w:val="0"/>
      <w:lang w:val="en-GB"/>
    </w:rPr>
  </w:style>
  <w:style w:type="character" w:customStyle="1" w:styleId="WerksmansStyle1Char">
    <w:name w:val="Werksmans_Style1 Char"/>
    <w:link w:val="WerksmansStyle1"/>
    <w:rsid w:val="00595A16"/>
    <w:rPr>
      <w:rFonts w:ascii="Verdana" w:eastAsia="Times New Roman" w:hAnsi="Verdana"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2019-02-13T12:00:00+00:00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4B2DA97-2A76-43B9-9445-57588FDCAB2E}"/>
</file>

<file path=customXml/itemProps2.xml><?xml version="1.0" encoding="utf-8"?>
<ds:datastoreItem xmlns:ds="http://schemas.openxmlformats.org/officeDocument/2006/customXml" ds:itemID="{7705FD5E-DB17-481C-9754-EB982FED286C}"/>
</file>

<file path=customXml/itemProps3.xml><?xml version="1.0" encoding="utf-8"?>
<ds:datastoreItem xmlns:ds="http://schemas.openxmlformats.org/officeDocument/2006/customXml" ds:itemID="{4AEC6D80-F6CD-4945-8E21-3A56CF47C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2014-04-15T08:31:00Z</dcterms:created>
  <dcterms:modified xsi:type="dcterms:W3CDTF">2019-02-11T06:44:00Z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